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2C" w:rsidRPr="006C7BA7" w:rsidRDefault="0071192C" w:rsidP="0071192C">
      <w:pPr>
        <w:widowControl/>
        <w:autoSpaceDE w:val="0"/>
        <w:autoSpaceDN w:val="0"/>
        <w:spacing w:line="240" w:lineRule="auto"/>
        <w:jc w:val="center"/>
        <w:textAlignment w:val="bottom"/>
        <w:rPr>
          <w:rFonts w:eastAsia="標楷體"/>
          <w:b/>
          <w:sz w:val="36"/>
        </w:rPr>
      </w:pPr>
      <w:r w:rsidRPr="006C7BA7">
        <w:rPr>
          <w:rFonts w:eastAsia="標楷體"/>
          <w:b/>
          <w:sz w:val="36"/>
        </w:rPr>
        <w:t>應用藝術研究所博士班課程</w:t>
      </w:r>
    </w:p>
    <w:p w:rsidR="0071192C" w:rsidRPr="00B40150" w:rsidRDefault="0071192C" w:rsidP="0071192C">
      <w:pPr>
        <w:spacing w:line="240" w:lineRule="auto"/>
        <w:ind w:firstLineChars="2770" w:firstLine="6094"/>
        <w:rPr>
          <w:rFonts w:eastAsia="標楷體"/>
          <w:color w:val="C00000"/>
          <w:sz w:val="22"/>
          <w:szCs w:val="22"/>
        </w:rPr>
      </w:pPr>
      <w:r w:rsidRPr="00B40150">
        <w:rPr>
          <w:rFonts w:eastAsia="標楷體"/>
          <w:color w:val="C00000"/>
          <w:sz w:val="22"/>
          <w:szCs w:val="22"/>
        </w:rPr>
        <w:t>106.02.10</w:t>
      </w:r>
      <w:r w:rsidRPr="00B40150">
        <w:rPr>
          <w:rFonts w:eastAsia="標楷體" w:hint="eastAsia"/>
          <w:color w:val="C00000"/>
          <w:sz w:val="22"/>
          <w:szCs w:val="22"/>
        </w:rPr>
        <w:t>修訂</w:t>
      </w:r>
    </w:p>
    <w:tbl>
      <w:tblPr>
        <w:tblW w:w="83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6804"/>
      </w:tblGrid>
      <w:tr w:rsidR="0071192C" w:rsidRPr="00434E93" w:rsidTr="00B40150">
        <w:trPr>
          <w:trHeight w:val="488"/>
        </w:trPr>
        <w:tc>
          <w:tcPr>
            <w:tcW w:w="159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1192C" w:rsidRPr="00434E93" w:rsidRDefault="0071192C" w:rsidP="00B40150">
            <w:pPr>
              <w:spacing w:line="240" w:lineRule="auto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434E93">
              <w:rPr>
                <w:rFonts w:eastAsia="標楷體"/>
                <w:sz w:val="28"/>
                <w:szCs w:val="28"/>
              </w:rPr>
              <w:t>課程類別</w:t>
            </w:r>
          </w:p>
        </w:tc>
        <w:tc>
          <w:tcPr>
            <w:tcW w:w="680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71192C" w:rsidRPr="00434E93" w:rsidRDefault="0071192C" w:rsidP="00B40150">
            <w:pPr>
              <w:spacing w:line="240" w:lineRule="auto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434E93">
              <w:rPr>
                <w:rFonts w:eastAsia="標楷體"/>
                <w:sz w:val="28"/>
                <w:szCs w:val="28"/>
              </w:rPr>
              <w:t>課</w:t>
            </w:r>
            <w:r w:rsidRPr="00434E93">
              <w:rPr>
                <w:rFonts w:eastAsia="標楷體"/>
                <w:sz w:val="28"/>
                <w:szCs w:val="28"/>
              </w:rPr>
              <w:t xml:space="preserve"> </w:t>
            </w:r>
            <w:r w:rsidRPr="00434E93">
              <w:rPr>
                <w:rFonts w:eastAsia="標楷體"/>
                <w:sz w:val="28"/>
                <w:szCs w:val="28"/>
              </w:rPr>
              <w:t>程</w:t>
            </w:r>
            <w:r w:rsidRPr="00434E93">
              <w:rPr>
                <w:rFonts w:eastAsia="標楷體"/>
                <w:sz w:val="28"/>
                <w:szCs w:val="28"/>
              </w:rPr>
              <w:t xml:space="preserve"> </w:t>
            </w:r>
            <w:r w:rsidRPr="00434E93">
              <w:rPr>
                <w:rFonts w:eastAsia="標楷體"/>
                <w:sz w:val="28"/>
                <w:szCs w:val="28"/>
              </w:rPr>
              <w:t>名</w:t>
            </w:r>
            <w:r w:rsidRPr="00434E93">
              <w:rPr>
                <w:rFonts w:eastAsia="標楷體"/>
                <w:sz w:val="28"/>
                <w:szCs w:val="28"/>
              </w:rPr>
              <w:t xml:space="preserve"> </w:t>
            </w:r>
            <w:r w:rsidRPr="00434E93">
              <w:rPr>
                <w:rFonts w:eastAsia="標楷體"/>
                <w:sz w:val="28"/>
                <w:szCs w:val="28"/>
              </w:rPr>
              <w:t>稱</w:t>
            </w:r>
          </w:p>
        </w:tc>
      </w:tr>
      <w:tr w:rsidR="0071192C" w:rsidRPr="00434E93" w:rsidTr="00B40150">
        <w:trPr>
          <w:trHeight w:val="567"/>
        </w:trPr>
        <w:tc>
          <w:tcPr>
            <w:tcW w:w="1590" w:type="dxa"/>
            <w:vAlign w:val="center"/>
          </w:tcPr>
          <w:p w:rsidR="0071192C" w:rsidRPr="00434E93" w:rsidRDefault="0071192C" w:rsidP="00B40150">
            <w:pPr>
              <w:spacing w:line="240" w:lineRule="auto"/>
              <w:ind w:left="0" w:firstLine="0"/>
              <w:jc w:val="both"/>
              <w:rPr>
                <w:rFonts w:eastAsia="標楷體"/>
                <w:sz w:val="28"/>
                <w:szCs w:val="28"/>
              </w:rPr>
            </w:pPr>
            <w:r w:rsidRPr="00434E93">
              <w:rPr>
                <w:rFonts w:eastAsia="標楷體"/>
                <w:sz w:val="28"/>
                <w:szCs w:val="28"/>
              </w:rPr>
              <w:t>各組必修</w:t>
            </w:r>
          </w:p>
        </w:tc>
        <w:tc>
          <w:tcPr>
            <w:tcW w:w="6804" w:type="dxa"/>
            <w:vAlign w:val="center"/>
          </w:tcPr>
          <w:p w:rsidR="0071192C" w:rsidRPr="00434E93" w:rsidRDefault="0071192C" w:rsidP="00B40150">
            <w:pPr>
              <w:spacing w:line="240" w:lineRule="auto"/>
              <w:ind w:left="0" w:firstLine="0"/>
              <w:jc w:val="both"/>
              <w:rPr>
                <w:rFonts w:eastAsia="標楷體"/>
                <w:sz w:val="28"/>
                <w:szCs w:val="28"/>
              </w:rPr>
            </w:pPr>
            <w:r w:rsidRPr="00434E93">
              <w:rPr>
                <w:rFonts w:eastAsia="標楷體"/>
                <w:sz w:val="28"/>
                <w:szCs w:val="28"/>
              </w:rPr>
              <w:t>設計與藝術設計專題研討</w:t>
            </w:r>
            <w:r w:rsidRPr="00434E93">
              <w:rPr>
                <w:rFonts w:eastAsia="標楷體"/>
                <w:sz w:val="28"/>
                <w:szCs w:val="28"/>
              </w:rPr>
              <w:t>(</w:t>
            </w:r>
            <w:r w:rsidRPr="00434E93">
              <w:rPr>
                <w:rFonts w:eastAsia="標楷體"/>
                <w:sz w:val="28"/>
                <w:szCs w:val="28"/>
              </w:rPr>
              <w:t>需修滿</w:t>
            </w:r>
            <w:r w:rsidRPr="00434E93">
              <w:rPr>
                <w:rFonts w:eastAsia="標楷體"/>
                <w:sz w:val="28"/>
                <w:szCs w:val="28"/>
              </w:rPr>
              <w:t>6</w:t>
            </w:r>
            <w:r w:rsidRPr="00434E93">
              <w:rPr>
                <w:rFonts w:eastAsia="標楷體"/>
                <w:sz w:val="28"/>
                <w:szCs w:val="28"/>
              </w:rPr>
              <w:t>學分</w:t>
            </w:r>
            <w:r w:rsidRPr="00434E93">
              <w:rPr>
                <w:rFonts w:eastAsia="標楷體"/>
                <w:sz w:val="28"/>
                <w:szCs w:val="28"/>
              </w:rPr>
              <w:t>)</w:t>
            </w:r>
            <w:r w:rsidRPr="00185EEC"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Pr="00185EEC">
              <w:rPr>
                <w:rFonts w:eastAsia="標楷體" w:hAnsi="標楷體" w:hint="eastAsia"/>
                <w:sz w:val="20"/>
              </w:rPr>
              <w:t>(</w:t>
            </w:r>
            <w:proofErr w:type="gramStart"/>
            <w:r w:rsidRPr="00185EEC">
              <w:rPr>
                <w:rFonts w:eastAsia="標楷體" w:hAnsi="標楷體" w:hint="eastAsia"/>
                <w:sz w:val="20"/>
              </w:rPr>
              <w:t>註</w:t>
            </w:r>
            <w:proofErr w:type="gramEnd"/>
            <w:r>
              <w:rPr>
                <w:rFonts w:eastAsia="標楷體" w:hAnsi="標楷體" w:hint="eastAsia"/>
                <w:sz w:val="20"/>
              </w:rPr>
              <w:t>1</w:t>
            </w:r>
            <w:r w:rsidRPr="00185EEC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71192C" w:rsidRPr="00434E93" w:rsidTr="00B40150">
        <w:tc>
          <w:tcPr>
            <w:tcW w:w="1590" w:type="dxa"/>
          </w:tcPr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  <w:r w:rsidRPr="00434E93">
              <w:rPr>
                <w:rFonts w:eastAsia="標楷體"/>
                <w:sz w:val="28"/>
                <w:szCs w:val="28"/>
              </w:rPr>
              <w:t>分組選修</w:t>
            </w: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4" w:type="dxa"/>
          </w:tcPr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b/>
                <w:sz w:val="28"/>
                <w:szCs w:val="28"/>
              </w:rPr>
            </w:pPr>
            <w:r w:rsidRPr="00434E93">
              <w:rPr>
                <w:rFonts w:eastAsia="標楷體" w:hAnsi="標楷體"/>
                <w:b/>
                <w:sz w:val="28"/>
                <w:szCs w:val="28"/>
              </w:rPr>
              <w:t>工業設計組</w:t>
            </w:r>
          </w:p>
          <w:p w:rsidR="0071192C" w:rsidRPr="00382CA2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szCs w:val="24"/>
                <w:bdr w:val="single" w:sz="4" w:space="0" w:color="auto"/>
              </w:rPr>
            </w:pPr>
            <w:r w:rsidRPr="00382CA2">
              <w:rPr>
                <w:rFonts w:eastAsia="標楷體" w:hAnsi="標楷體"/>
                <w:szCs w:val="24"/>
                <w:bdr w:val="single" w:sz="4" w:space="0" w:color="auto"/>
              </w:rPr>
              <w:t>設計理論課程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標楷體"/>
                <w:szCs w:val="24"/>
              </w:rPr>
              <w:t>設計特論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感性工</w:t>
            </w:r>
            <w:proofErr w:type="gramStart"/>
            <w:r w:rsidRPr="00434E93">
              <w:rPr>
                <w:rFonts w:ascii="Times New Roman" w:eastAsia="標楷體" w:hAnsi="Times New Roman"/>
                <w:szCs w:val="24"/>
              </w:rPr>
              <w:t>學特論</w:t>
            </w:r>
            <w:proofErr w:type="gramEnd"/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前衛設計與評論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解構與結構主義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使用者研究</w:t>
            </w:r>
          </w:p>
          <w:p w:rsidR="0071192C" w:rsidRPr="00382CA2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szCs w:val="24"/>
                <w:bdr w:val="single" w:sz="4" w:space="0" w:color="auto"/>
              </w:rPr>
            </w:pPr>
            <w:r w:rsidRPr="00382CA2">
              <w:rPr>
                <w:rFonts w:eastAsia="標楷體" w:hAnsi="標楷體"/>
                <w:szCs w:val="24"/>
                <w:bdr w:val="single" w:sz="4" w:space="0" w:color="auto"/>
              </w:rPr>
              <w:t>研究方法課程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標楷體"/>
                <w:szCs w:val="24"/>
              </w:rPr>
              <w:t>設計研究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設計質化研究</w:t>
            </w:r>
          </w:p>
          <w:p w:rsidR="0071192C" w:rsidRPr="00382CA2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szCs w:val="24"/>
                <w:bdr w:val="single" w:sz="4" w:space="0" w:color="auto"/>
              </w:rPr>
            </w:pPr>
            <w:r w:rsidRPr="00382CA2">
              <w:rPr>
                <w:rFonts w:eastAsia="標楷體" w:hAnsi="標楷體"/>
                <w:szCs w:val="24"/>
                <w:bdr w:val="single" w:sz="4" w:space="0" w:color="auto"/>
              </w:rPr>
              <w:t>設計創作課程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介面設計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互動設計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數位生活設計工作坊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85EEC">
              <w:rPr>
                <w:rFonts w:eastAsia="標楷體" w:hAnsi="標楷體" w:hint="eastAsia"/>
                <w:sz w:val="20"/>
              </w:rPr>
              <w:t>(</w:t>
            </w:r>
            <w:r w:rsidRPr="00185EEC">
              <w:rPr>
                <w:rFonts w:eastAsia="標楷體" w:hAnsi="標楷體" w:hint="eastAsia"/>
                <w:sz w:val="20"/>
              </w:rPr>
              <w:t>備註</w:t>
            </w:r>
            <w:r w:rsidRPr="00A3223D">
              <w:rPr>
                <w:rFonts w:ascii="Times New Roman" w:eastAsia="標楷體" w:hAnsi="Times New Roman"/>
                <w:sz w:val="20"/>
              </w:rPr>
              <w:t>1)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服務</w:t>
            </w:r>
            <w:r w:rsidRPr="00434E93">
              <w:rPr>
                <w:rFonts w:ascii="Times New Roman" w:eastAsia="標楷體" w:hAnsi="標楷體"/>
                <w:szCs w:val="24"/>
              </w:rPr>
              <w:t>設計</w:t>
            </w:r>
          </w:p>
          <w:p w:rsidR="0071192C" w:rsidRPr="00434E93" w:rsidRDefault="0071192C" w:rsidP="00B40150">
            <w:pPr>
              <w:spacing w:line="240" w:lineRule="auto"/>
              <w:ind w:left="397" w:hanging="397"/>
              <w:rPr>
                <w:rFonts w:eastAsia="標楷體"/>
                <w:szCs w:val="24"/>
              </w:rPr>
            </w:pPr>
          </w:p>
          <w:p w:rsidR="0071192C" w:rsidRPr="00434E93" w:rsidRDefault="0071192C" w:rsidP="00B40150">
            <w:pPr>
              <w:spacing w:line="240" w:lineRule="auto"/>
              <w:ind w:left="0" w:firstLine="0"/>
              <w:rPr>
                <w:rFonts w:eastAsia="標楷體"/>
                <w:b/>
                <w:sz w:val="28"/>
                <w:szCs w:val="28"/>
              </w:rPr>
            </w:pPr>
            <w:r w:rsidRPr="00434E93">
              <w:rPr>
                <w:rFonts w:eastAsia="標楷體" w:hAnsi="標楷體"/>
                <w:b/>
                <w:sz w:val="28"/>
                <w:szCs w:val="28"/>
              </w:rPr>
              <w:t>視覺傳播組</w:t>
            </w:r>
          </w:p>
          <w:p w:rsidR="0071192C" w:rsidRPr="00434E93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szCs w:val="24"/>
              </w:rPr>
            </w:pPr>
            <w:r w:rsidRPr="00313F2C">
              <w:rPr>
                <w:rFonts w:eastAsia="標楷體" w:hAnsi="標楷體"/>
                <w:szCs w:val="24"/>
                <w:bdr w:val="single" w:sz="4" w:space="0" w:color="auto"/>
              </w:rPr>
              <w:t>設計理論課程</w:t>
            </w:r>
          </w:p>
          <w:p w:rsidR="0071192C" w:rsidRPr="00313F2C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eastAsia="標楷體" w:hAnsi="標楷體"/>
                <w:szCs w:val="24"/>
              </w:rPr>
              <w:t>◎</w:t>
            </w:r>
            <w:r w:rsidRPr="00313F2C">
              <w:rPr>
                <w:rFonts w:ascii="Times New Roman" w:eastAsia="標楷體" w:hAnsi="Times New Roman"/>
                <w:szCs w:val="24"/>
              </w:rPr>
              <w:t>藝術與設計心理學課群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視知覺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藝術史心理學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藝術心理學深論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設計師需要知道的心理學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視覺藝術與設計課群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電影視覺符號與比喻之應用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二十一世紀的藝術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身體與時間影像美學專題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文化批評專題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科技藝術課群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表演、遊戲性與實踐親驗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符號與數位化記譜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舞蹈與科技美學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eastAsia="標楷體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動畫、動作</w:t>
            </w:r>
            <w:r w:rsidRPr="00382CA2">
              <w:rPr>
                <w:rFonts w:eastAsia="標楷體"/>
                <w:szCs w:val="24"/>
              </w:rPr>
              <w:t>與動力學特論</w:t>
            </w:r>
          </w:p>
          <w:p w:rsidR="0071192C" w:rsidRPr="00382CA2" w:rsidRDefault="0071192C" w:rsidP="0071192C">
            <w:pPr>
              <w:spacing w:line="240" w:lineRule="auto"/>
              <w:ind w:leftChars="150" w:left="360" w:firstLine="0"/>
              <w:rPr>
                <w:rFonts w:eastAsia="標楷體" w:hAnsi="標楷體"/>
                <w:szCs w:val="24"/>
                <w:bdr w:val="single" w:sz="4" w:space="0" w:color="auto"/>
              </w:rPr>
            </w:pPr>
            <w:r w:rsidRPr="00382CA2">
              <w:rPr>
                <w:rFonts w:eastAsia="標楷體" w:hAnsi="標楷體"/>
                <w:szCs w:val="24"/>
                <w:bdr w:val="single" w:sz="4" w:space="0" w:color="auto"/>
              </w:rPr>
              <w:t>研究方法課程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藝術與設計心理學課群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設計心理學研究方法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視覺藝術與設計課群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eastAsia="標楷體"/>
                <w:szCs w:val="24"/>
              </w:rPr>
            </w:pPr>
            <w:r w:rsidRPr="00382CA2">
              <w:rPr>
                <w:rFonts w:eastAsia="標楷體"/>
                <w:szCs w:val="24"/>
              </w:rPr>
              <w:t>藝術研究深論</w:t>
            </w:r>
          </w:p>
          <w:p w:rsidR="0071192C" w:rsidRPr="00382CA2" w:rsidRDefault="0071192C" w:rsidP="0071192C">
            <w:pPr>
              <w:spacing w:line="240" w:lineRule="auto"/>
              <w:ind w:leftChars="100" w:left="240" w:firstLine="0"/>
              <w:rPr>
                <w:rFonts w:eastAsia="標楷體"/>
                <w:szCs w:val="24"/>
              </w:rPr>
            </w:pPr>
          </w:p>
          <w:p w:rsidR="0071192C" w:rsidRPr="00382CA2" w:rsidRDefault="0071192C" w:rsidP="0071192C">
            <w:pPr>
              <w:spacing w:line="240" w:lineRule="auto"/>
              <w:ind w:leftChars="100" w:left="240" w:firstLine="0"/>
              <w:rPr>
                <w:rFonts w:eastAsia="標楷體"/>
                <w:szCs w:val="24"/>
              </w:rPr>
            </w:pPr>
            <w:r w:rsidRPr="00382CA2">
              <w:rPr>
                <w:rFonts w:eastAsia="標楷體" w:hAnsi="標楷體"/>
                <w:szCs w:val="24"/>
                <w:bdr w:val="single" w:sz="4" w:space="0" w:color="auto"/>
              </w:rPr>
              <w:lastRenderedPageBreak/>
              <w:t>設計創作課程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視覺藝術與設計課群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字型設計與傳達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多媒體網頁設計實務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藝術家的書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藝術家的書</w:t>
            </w:r>
            <w:r w:rsidRPr="00382CA2">
              <w:rPr>
                <w:rFonts w:ascii="Times New Roman" w:eastAsia="標楷體" w:hAnsi="Times New Roman"/>
                <w:szCs w:val="24"/>
              </w:rPr>
              <w:t>--</w:t>
            </w:r>
            <w:r w:rsidRPr="00382CA2">
              <w:rPr>
                <w:rFonts w:ascii="Times New Roman" w:eastAsia="標楷體" w:hAnsi="Times New Roman"/>
                <w:szCs w:val="24"/>
              </w:rPr>
              <w:t>進階篇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圖文小說、繪本、漫畫創作與探究</w:t>
            </w:r>
          </w:p>
          <w:p w:rsidR="0071192C" w:rsidRPr="00382CA2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ascii="Times New Roman" w:eastAsia="標楷體" w:hAnsi="Times New Roman"/>
                <w:szCs w:val="24"/>
              </w:rPr>
              <w:t>詩意與創意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382CA2">
              <w:rPr>
                <w:rFonts w:eastAsia="標楷體" w:hAnsi="標楷體"/>
                <w:szCs w:val="24"/>
              </w:rPr>
              <w:t>◎</w:t>
            </w:r>
            <w:r w:rsidRPr="00382CA2">
              <w:rPr>
                <w:rFonts w:ascii="Times New Roman" w:eastAsia="標楷體" w:hAnsi="Times New Roman"/>
                <w:szCs w:val="24"/>
              </w:rPr>
              <w:t>科技藝術課群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新媒體實驗創作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互動與數位藝術程式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電腦藝術專題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跨領域數位藝術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34E93">
              <w:rPr>
                <w:rFonts w:ascii="Times New Roman" w:eastAsia="標楷體" w:hAnsi="Times New Roman"/>
                <w:szCs w:val="24"/>
              </w:rPr>
              <w:t>舞台、地</w:t>
            </w:r>
            <w:proofErr w:type="gramStart"/>
            <w:r w:rsidRPr="00434E93">
              <w:rPr>
                <w:rFonts w:ascii="Times New Roman" w:eastAsia="標楷體" w:hAnsi="Times New Roman"/>
                <w:szCs w:val="24"/>
              </w:rPr>
              <w:t>景與繪景</w:t>
            </w:r>
            <w:proofErr w:type="gramEnd"/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450" w:left="108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6A3943">
              <w:rPr>
                <w:rFonts w:ascii="Times New Roman" w:eastAsia="標楷體" w:hAnsi="Times New Roman"/>
                <w:szCs w:val="24"/>
              </w:rPr>
              <w:t>動畫</w:t>
            </w:r>
            <w:r w:rsidRPr="00434E93">
              <w:rPr>
                <w:rFonts w:ascii="Times New Roman" w:eastAsia="標楷體" w:hAnsi="Times New Roman"/>
                <w:szCs w:val="24"/>
              </w:rPr>
              <w:t>創作</w:t>
            </w:r>
            <w:r w:rsidRPr="006A3943">
              <w:rPr>
                <w:rFonts w:ascii="Times New Roman" w:eastAsia="標楷體" w:hAnsi="Times New Roman"/>
                <w:szCs w:val="24"/>
              </w:rPr>
              <w:t>與研究</w:t>
            </w:r>
          </w:p>
          <w:p w:rsidR="0071192C" w:rsidRPr="00434E93" w:rsidRDefault="0071192C" w:rsidP="00B40150">
            <w:pPr>
              <w:spacing w:line="240" w:lineRule="auto"/>
              <w:ind w:left="397" w:hanging="397"/>
              <w:rPr>
                <w:rFonts w:eastAsia="標楷體"/>
                <w:szCs w:val="24"/>
              </w:rPr>
            </w:pPr>
          </w:p>
          <w:p w:rsidR="0071192C" w:rsidRPr="00B40150" w:rsidRDefault="0071192C" w:rsidP="00B40150">
            <w:pPr>
              <w:spacing w:line="240" w:lineRule="auto"/>
              <w:ind w:left="0" w:firstLine="0"/>
              <w:rPr>
                <w:rFonts w:eastAsia="標楷體"/>
                <w:b/>
                <w:color w:val="C00000"/>
                <w:sz w:val="28"/>
                <w:szCs w:val="28"/>
              </w:rPr>
            </w:pPr>
            <w:r w:rsidRPr="00B40150">
              <w:rPr>
                <w:rFonts w:eastAsia="標楷體" w:hAnsi="標楷體"/>
                <w:b/>
                <w:color w:val="C00000"/>
                <w:sz w:val="28"/>
                <w:szCs w:val="28"/>
              </w:rPr>
              <w:t>傳播與科技組</w:t>
            </w:r>
          </w:p>
          <w:p w:rsidR="0071192C" w:rsidRPr="00B40150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color w:val="000000" w:themeColor="text1"/>
                <w:szCs w:val="24"/>
              </w:rPr>
            </w:pPr>
            <w:r w:rsidRPr="00B40150">
              <w:rPr>
                <w:rFonts w:eastAsia="標楷體" w:hAnsi="標楷體"/>
                <w:color w:val="000000" w:themeColor="text1"/>
                <w:szCs w:val="24"/>
                <w:bdr w:val="single" w:sz="4" w:space="0" w:color="auto"/>
              </w:rPr>
              <w:t>先修課程</w:t>
            </w:r>
            <w:r w:rsidRPr="00B40150">
              <w:rPr>
                <w:rFonts w:eastAsia="標楷體" w:hint="eastAsia"/>
                <w:color w:val="000000" w:themeColor="text1"/>
                <w:szCs w:val="24"/>
              </w:rPr>
              <w:t>（</w:t>
            </w:r>
            <w:r w:rsidRPr="00B40150">
              <w:rPr>
                <w:rFonts w:eastAsia="標楷體"/>
                <w:color w:val="000000" w:themeColor="text1"/>
                <w:szCs w:val="24"/>
              </w:rPr>
              <w:t>3</w:t>
            </w:r>
            <w:r w:rsidRPr="00B40150">
              <w:rPr>
                <w:rFonts w:eastAsia="標楷體" w:hint="eastAsia"/>
                <w:color w:val="000000" w:themeColor="text1"/>
                <w:szCs w:val="24"/>
              </w:rPr>
              <w:t>門）</w:t>
            </w:r>
            <w:r w:rsidRPr="00B40150">
              <w:rPr>
                <w:rFonts w:eastAsia="標楷體" w:hAnsi="標楷體"/>
                <w:color w:val="000000" w:themeColor="text1"/>
                <w:sz w:val="20"/>
              </w:rPr>
              <w:t>(</w:t>
            </w:r>
            <w:proofErr w:type="gramStart"/>
            <w:r w:rsidRPr="00B40150">
              <w:rPr>
                <w:rFonts w:eastAsia="標楷體" w:hAnsi="標楷體" w:hint="eastAsia"/>
                <w:color w:val="000000" w:themeColor="text1"/>
                <w:sz w:val="20"/>
              </w:rPr>
              <w:t>註</w:t>
            </w:r>
            <w:proofErr w:type="gramEnd"/>
            <w:r w:rsidRPr="00B40150">
              <w:rPr>
                <w:rFonts w:eastAsia="標楷體" w:hAnsi="標楷體"/>
                <w:color w:val="000000" w:themeColor="text1"/>
                <w:sz w:val="20"/>
              </w:rPr>
              <w:t>2)</w:t>
            </w:r>
          </w:p>
          <w:p w:rsidR="0071192C" w:rsidRPr="00B40150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01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傳播理論</w:t>
            </w:r>
          </w:p>
          <w:p w:rsidR="0071192C" w:rsidRPr="00B40150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01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傳播研究方法：量化取向</w:t>
            </w:r>
          </w:p>
          <w:p w:rsidR="0071192C" w:rsidRPr="00B40150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eastAsia="標楷體" w:hAnsi="標楷體"/>
                <w:color w:val="000000" w:themeColor="text1"/>
                <w:szCs w:val="24"/>
              </w:rPr>
            </w:pPr>
            <w:r w:rsidRPr="00B401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傳播研究方法：質化取向</w:t>
            </w:r>
          </w:p>
          <w:p w:rsidR="0071192C" w:rsidRPr="00764811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color w:val="000000" w:themeColor="text1"/>
                <w:szCs w:val="24"/>
              </w:rPr>
            </w:pPr>
            <w:r w:rsidRPr="00B40150">
              <w:rPr>
                <w:rFonts w:eastAsia="標楷體" w:hAnsi="標楷體"/>
                <w:color w:val="000000" w:themeColor="text1"/>
                <w:szCs w:val="24"/>
                <w:bdr w:val="single" w:sz="4" w:space="0" w:color="auto"/>
              </w:rPr>
              <w:t>研究方法課程</w:t>
            </w:r>
            <w:r w:rsidRPr="00B40150">
              <w:rPr>
                <w:rFonts w:eastAsia="標楷體" w:hAnsi="標楷體"/>
                <w:color w:val="000000" w:themeColor="text1"/>
                <w:szCs w:val="24"/>
              </w:rPr>
              <w:t>（</w:t>
            </w:r>
            <w:r w:rsidRPr="00764811">
              <w:rPr>
                <w:rFonts w:eastAsia="標楷體" w:hAnsi="標楷體"/>
                <w:color w:val="000000" w:themeColor="text1"/>
                <w:szCs w:val="24"/>
              </w:rPr>
              <w:t>必修）</w:t>
            </w:r>
          </w:p>
          <w:p w:rsidR="0071192C" w:rsidRPr="00B40150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401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知識</w:t>
            </w:r>
            <w:r w:rsidRPr="00764811">
              <w:rPr>
                <w:rFonts w:ascii="Times New Roman" w:eastAsia="標楷體" w:hAnsi="標楷體"/>
                <w:color w:val="000000" w:themeColor="text1"/>
                <w:szCs w:val="24"/>
              </w:rPr>
              <w:t>與方法</w:t>
            </w:r>
          </w:p>
          <w:p w:rsidR="0071192C" w:rsidRPr="00B40150" w:rsidRDefault="0071192C" w:rsidP="0071192C">
            <w:pPr>
              <w:spacing w:line="240" w:lineRule="auto"/>
              <w:ind w:leftChars="150" w:left="360" w:firstLine="0"/>
              <w:rPr>
                <w:rFonts w:eastAsia="標楷體"/>
                <w:color w:val="000000" w:themeColor="text1"/>
                <w:szCs w:val="24"/>
              </w:rPr>
            </w:pPr>
            <w:r w:rsidRPr="00B40150">
              <w:rPr>
                <w:rFonts w:eastAsia="標楷體" w:hAnsi="標楷體"/>
                <w:color w:val="000000" w:themeColor="text1"/>
                <w:szCs w:val="24"/>
                <w:bdr w:val="single" w:sz="4" w:space="0" w:color="auto"/>
              </w:rPr>
              <w:t>選修課程</w:t>
            </w:r>
            <w:r w:rsidRPr="00B40150">
              <w:rPr>
                <w:rFonts w:eastAsia="標楷體" w:hint="eastAsia"/>
                <w:color w:val="000000" w:themeColor="text1"/>
                <w:szCs w:val="24"/>
              </w:rPr>
              <w:t>（</w:t>
            </w:r>
            <w:r w:rsidRPr="00B40150">
              <w:rPr>
                <w:rFonts w:eastAsia="標楷體"/>
                <w:color w:val="C00000"/>
                <w:szCs w:val="24"/>
              </w:rPr>
              <w:t>10</w:t>
            </w:r>
            <w:r w:rsidRPr="00B40150">
              <w:rPr>
                <w:rFonts w:eastAsia="標楷體" w:hint="eastAsia"/>
                <w:color w:val="000000" w:themeColor="text1"/>
                <w:szCs w:val="24"/>
              </w:rPr>
              <w:t>選</w:t>
            </w:r>
            <w:r w:rsidRPr="00B40150">
              <w:rPr>
                <w:rFonts w:eastAsia="標楷體"/>
                <w:color w:val="000000" w:themeColor="text1"/>
                <w:szCs w:val="24"/>
              </w:rPr>
              <w:t>5</w:t>
            </w:r>
            <w:r w:rsidRPr="00B40150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71192C" w:rsidRPr="00B40150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eastAsia="標楷體" w:hAnsi="標楷體"/>
                <w:color w:val="C00000"/>
              </w:rPr>
            </w:pPr>
            <w:r w:rsidRPr="00B40150">
              <w:rPr>
                <w:rFonts w:eastAsia="標楷體" w:hAnsi="標楷體" w:hint="eastAsia"/>
                <w:color w:val="C00000"/>
              </w:rPr>
              <w:t>媒體策略管理與行銷</w:t>
            </w:r>
            <w:r w:rsidRPr="00B40150">
              <w:rPr>
                <w:rFonts w:eastAsia="標楷體" w:hAnsi="標楷體"/>
                <w:color w:val="C00000"/>
              </w:rPr>
              <w:t>、組織傳播</w:t>
            </w:r>
            <w:r w:rsidRPr="00B40150">
              <w:rPr>
                <w:rFonts w:eastAsia="標楷體" w:hAnsi="標楷體" w:hint="eastAsia"/>
                <w:color w:val="C00000"/>
              </w:rPr>
              <w:t>與公共關係</w:t>
            </w:r>
            <w:r w:rsidRPr="00B40150">
              <w:rPr>
                <w:rFonts w:eastAsia="標楷體" w:hAnsi="標楷體"/>
                <w:color w:val="C00000"/>
              </w:rPr>
              <w:t>、多媒體人機互動概論、</w:t>
            </w:r>
            <w:r w:rsidRPr="00B40150">
              <w:rPr>
                <w:rFonts w:ascii="標楷體" w:eastAsia="標楷體" w:hAnsi="標楷體" w:hint="eastAsia"/>
                <w:bCs/>
                <w:color w:val="C00000"/>
              </w:rPr>
              <w:t>雛形設計與製作</w:t>
            </w:r>
            <w:r w:rsidRPr="00B40150">
              <w:rPr>
                <w:rFonts w:eastAsia="標楷體" w:hAnsi="標楷體"/>
                <w:color w:val="C00000"/>
              </w:rPr>
              <w:t>、</w:t>
            </w:r>
            <w:r w:rsidRPr="00B40150">
              <w:rPr>
                <w:rFonts w:eastAsia="標楷體" w:hAnsi="標楷體" w:hint="eastAsia"/>
                <w:color w:val="C00000"/>
              </w:rPr>
              <w:t>科技</w:t>
            </w:r>
            <w:r w:rsidRPr="00B40150">
              <w:rPr>
                <w:rFonts w:eastAsia="標楷體" w:hAnsi="標楷體"/>
                <w:color w:val="C00000"/>
              </w:rPr>
              <w:t>/</w:t>
            </w:r>
            <w:r w:rsidRPr="00B40150">
              <w:rPr>
                <w:rFonts w:eastAsia="標楷體" w:hAnsi="標楷體"/>
                <w:color w:val="C00000"/>
              </w:rPr>
              <w:t>科學傳播、</w:t>
            </w:r>
            <w:r w:rsidRPr="00B40150">
              <w:rPr>
                <w:rFonts w:eastAsia="標楷體" w:hAnsi="標楷體" w:hint="eastAsia"/>
                <w:color w:val="C00000"/>
              </w:rPr>
              <w:t>網路與</w:t>
            </w:r>
            <w:r w:rsidRPr="00B40150">
              <w:rPr>
                <w:rFonts w:ascii="標楷體" w:eastAsia="標楷體" w:hAnsi="標楷體" w:hint="eastAsia"/>
                <w:color w:val="C00000"/>
              </w:rPr>
              <w:t>社群媒體行銷、</w:t>
            </w:r>
            <w:r w:rsidRPr="00B40150">
              <w:rPr>
                <w:rFonts w:eastAsia="標楷體" w:hAnsi="標楷體"/>
                <w:color w:val="C00000"/>
              </w:rPr>
              <w:t>娛樂媒介研究、</w:t>
            </w:r>
            <w:r w:rsidRPr="00B40150">
              <w:rPr>
                <w:rFonts w:eastAsia="標楷體" w:hAnsi="標楷體" w:hint="eastAsia"/>
                <w:color w:val="000000" w:themeColor="text1"/>
              </w:rPr>
              <w:t>網路空間與社群</w:t>
            </w:r>
            <w:r w:rsidRPr="00B40150">
              <w:rPr>
                <w:rFonts w:eastAsia="標楷體" w:hAnsi="標楷體" w:hint="eastAsia"/>
                <w:color w:val="C00000"/>
              </w:rPr>
              <w:t>、媒體文化專題</w:t>
            </w:r>
            <w:r w:rsidRPr="00B40150">
              <w:rPr>
                <w:rFonts w:ascii="標楷體" w:eastAsia="標楷體" w:hAnsi="標楷體" w:hint="eastAsia"/>
                <w:color w:val="C00000"/>
              </w:rPr>
              <w:t>、科技新聞與公關實務</w:t>
            </w:r>
            <w:r w:rsidRPr="00B40150">
              <w:rPr>
                <w:rFonts w:eastAsia="標楷體" w:hAnsi="標楷體"/>
                <w:color w:val="C00000"/>
              </w:rPr>
              <w:t>。</w:t>
            </w:r>
          </w:p>
          <w:p w:rsidR="0071192C" w:rsidRPr="00434E93" w:rsidRDefault="0071192C" w:rsidP="0071192C">
            <w:pPr>
              <w:pStyle w:val="Body1"/>
              <w:widowControl w:val="0"/>
              <w:adjustRightInd w:val="0"/>
              <w:ind w:leftChars="250" w:left="600"/>
              <w:textAlignment w:val="baselin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1192C" w:rsidRDefault="0071192C" w:rsidP="0071192C">
      <w:pPr>
        <w:spacing w:line="240" w:lineRule="auto"/>
        <w:ind w:left="907" w:rightChars="58" w:right="139" w:hanging="765"/>
        <w:rPr>
          <w:rFonts w:eastAsia="標楷體"/>
          <w:szCs w:val="24"/>
        </w:rPr>
      </w:pPr>
      <w:proofErr w:type="gramStart"/>
      <w:r w:rsidRPr="006C7BA7">
        <w:rPr>
          <w:rFonts w:eastAsia="標楷體"/>
          <w:szCs w:val="24"/>
        </w:rPr>
        <w:lastRenderedPageBreak/>
        <w:t>註</w:t>
      </w:r>
      <w:proofErr w:type="gramEnd"/>
      <w:r w:rsidRPr="006C7BA7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 xml:space="preserve">1. </w:t>
      </w:r>
      <w:r w:rsidRPr="006C7BA7">
        <w:rPr>
          <w:rFonts w:eastAsia="標楷體"/>
          <w:szCs w:val="24"/>
        </w:rPr>
        <w:t>設計與藝術設計專題研討</w:t>
      </w:r>
      <w:r>
        <w:rPr>
          <w:rFonts w:eastAsia="標楷體" w:hint="eastAsia"/>
          <w:szCs w:val="24"/>
        </w:rPr>
        <w:t>課程</w:t>
      </w:r>
      <w:r w:rsidRPr="006C7BA7">
        <w:rPr>
          <w:rFonts w:eastAsia="標楷體"/>
          <w:szCs w:val="24"/>
        </w:rPr>
        <w:t>、數位生活設計</w:t>
      </w:r>
      <w:r w:rsidRPr="006C7BA7">
        <w:rPr>
          <w:rFonts w:eastAsia="標楷體" w:hAnsi="標楷體"/>
          <w:szCs w:val="24"/>
        </w:rPr>
        <w:t>工作坊</w:t>
      </w:r>
      <w:r>
        <w:rPr>
          <w:rFonts w:eastAsia="標楷體" w:hint="eastAsia"/>
          <w:szCs w:val="24"/>
        </w:rPr>
        <w:t>課程</w:t>
      </w:r>
      <w:r>
        <w:rPr>
          <w:rFonts w:eastAsia="標楷體" w:hAnsi="標楷體" w:hint="eastAsia"/>
          <w:szCs w:val="24"/>
        </w:rPr>
        <w:t>各</w:t>
      </w:r>
      <w:r w:rsidRPr="006C7BA7">
        <w:rPr>
          <w:rFonts w:eastAsia="標楷體" w:hAnsi="標楷體"/>
          <w:szCs w:val="24"/>
        </w:rPr>
        <w:t>為</w:t>
      </w:r>
      <w:r w:rsidRPr="006C7BA7">
        <w:rPr>
          <w:rFonts w:eastAsia="標楷體"/>
          <w:szCs w:val="24"/>
        </w:rPr>
        <w:t>1</w:t>
      </w:r>
      <w:r w:rsidRPr="006C7BA7">
        <w:rPr>
          <w:rFonts w:eastAsia="標楷體"/>
          <w:szCs w:val="24"/>
        </w:rPr>
        <w:t>學分，其餘課程</w:t>
      </w:r>
      <w:r>
        <w:rPr>
          <w:rFonts w:eastAsia="標楷體" w:hint="eastAsia"/>
          <w:szCs w:val="24"/>
        </w:rPr>
        <w:t>各</w:t>
      </w:r>
      <w:r w:rsidRPr="006C7BA7">
        <w:rPr>
          <w:rFonts w:eastAsia="標楷體"/>
          <w:szCs w:val="24"/>
        </w:rPr>
        <w:t>為</w:t>
      </w:r>
      <w:r w:rsidRPr="006C7BA7">
        <w:rPr>
          <w:rFonts w:eastAsia="標楷體"/>
          <w:szCs w:val="24"/>
        </w:rPr>
        <w:t>3</w:t>
      </w:r>
      <w:r w:rsidRPr="006C7BA7">
        <w:rPr>
          <w:rFonts w:eastAsia="標楷體"/>
          <w:szCs w:val="24"/>
        </w:rPr>
        <w:t>學分。</w:t>
      </w:r>
    </w:p>
    <w:p w:rsidR="0071192C" w:rsidRPr="006C7BA7" w:rsidRDefault="0071192C" w:rsidP="0071192C">
      <w:pPr>
        <w:spacing w:line="240" w:lineRule="auto"/>
        <w:ind w:left="907" w:rightChars="58" w:right="139" w:hanging="76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>
        <w:rPr>
          <w:rFonts w:eastAsia="標楷體" w:hint="eastAsia"/>
          <w:szCs w:val="24"/>
        </w:rPr>
        <w:t>2.</w:t>
      </w:r>
      <w:r w:rsidRPr="00380AA7">
        <w:rPr>
          <w:rFonts w:hint="eastAsia"/>
        </w:rPr>
        <w:t xml:space="preserve"> </w:t>
      </w:r>
      <w:r w:rsidRPr="00B40150">
        <w:rPr>
          <w:rFonts w:eastAsia="標楷體" w:hint="eastAsia"/>
          <w:color w:val="C00000"/>
          <w:szCs w:val="24"/>
        </w:rPr>
        <w:t>傳播與科技組</w:t>
      </w:r>
      <w:r w:rsidRPr="00B40150">
        <w:rPr>
          <w:rFonts w:eastAsia="標楷體"/>
          <w:color w:val="C00000"/>
          <w:szCs w:val="24"/>
        </w:rPr>
        <w:t>:</w:t>
      </w:r>
      <w:r>
        <w:rPr>
          <w:rFonts w:eastAsia="標楷體" w:hint="eastAsia"/>
          <w:szCs w:val="24"/>
        </w:rPr>
        <w:t xml:space="preserve"> </w:t>
      </w:r>
      <w:r w:rsidRPr="00F50EBC">
        <w:rPr>
          <w:rFonts w:eastAsia="標楷體" w:hint="eastAsia"/>
          <w:szCs w:val="24"/>
        </w:rPr>
        <w:t>碩士班逕行修讀博士學位學生，先修課程可列入畢業學分之計算。</w:t>
      </w:r>
    </w:p>
    <w:p w:rsidR="00EE5FC2" w:rsidRPr="0071192C" w:rsidRDefault="00EE5FC2">
      <w:bookmarkStart w:id="0" w:name="_GoBack"/>
      <w:bookmarkEnd w:id="0"/>
    </w:p>
    <w:sectPr w:rsidR="00EE5FC2" w:rsidRPr="0071192C" w:rsidSect="00A864C0">
      <w:pgSz w:w="11907" w:h="16840"/>
      <w:pgMar w:top="1247" w:right="1701" w:bottom="1247" w:left="1701" w:header="567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2C"/>
    <w:rsid w:val="0071192C"/>
    <w:rsid w:val="00E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C"/>
    <w:pPr>
      <w:widowControl w:val="0"/>
      <w:adjustRightInd w:val="0"/>
      <w:spacing w:line="360" w:lineRule="atLeast"/>
      <w:ind w:left="567" w:hanging="567"/>
      <w:textAlignment w:val="baseline"/>
    </w:pPr>
    <w:rPr>
      <w:rFonts w:eastAsia="細明體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71192C"/>
    <w:rPr>
      <w:rFonts w:ascii="Helvetica" w:eastAsia="Arial Unicode MS" w:hAnsi="Helvetica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2C"/>
    <w:pPr>
      <w:widowControl w:val="0"/>
      <w:adjustRightInd w:val="0"/>
      <w:spacing w:line="360" w:lineRule="atLeast"/>
      <w:ind w:left="567" w:hanging="567"/>
      <w:textAlignment w:val="baseline"/>
    </w:pPr>
    <w:rPr>
      <w:rFonts w:eastAsia="細明體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71192C"/>
    <w:rPr>
      <w:rFonts w:ascii="Helvetica" w:eastAsia="Arial Unicode MS" w:hAnsi="Helvetic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iaa</cp:lastModifiedBy>
  <cp:revision>1</cp:revision>
  <dcterms:created xsi:type="dcterms:W3CDTF">2017-04-14T02:13:00Z</dcterms:created>
  <dcterms:modified xsi:type="dcterms:W3CDTF">2017-04-14T02:13:00Z</dcterms:modified>
</cp:coreProperties>
</file>